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703971">
        <w:rPr>
          <w:rFonts w:ascii="Palatino Linotype" w:hAnsi="Palatino Linotype" w:cs="Arial"/>
          <w:b/>
          <w:bCs/>
          <w:sz w:val="23"/>
          <w:szCs w:val="23"/>
        </w:rPr>
        <w:t>4775</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119DE" w:rsidRPr="008119DE" w:rsidRDefault="00E6179D">
          <w:pPr>
            <w:pStyle w:val="TDC1"/>
            <w:rPr>
              <w:rFonts w:asciiTheme="minorHAnsi" w:eastAsiaTheme="minorEastAsia" w:hAnsiTheme="minorHAnsi"/>
              <w:b w:val="0"/>
              <w:sz w:val="24"/>
              <w:szCs w:val="24"/>
              <w:lang w:eastAsia="es-MX"/>
            </w:rPr>
          </w:pPr>
          <w:r w:rsidRPr="008119DE">
            <w:rPr>
              <w:sz w:val="24"/>
              <w:szCs w:val="24"/>
            </w:rPr>
            <w:fldChar w:fldCharType="begin"/>
          </w:r>
          <w:r w:rsidRPr="008119DE">
            <w:rPr>
              <w:sz w:val="24"/>
              <w:szCs w:val="24"/>
            </w:rPr>
            <w:instrText xml:space="preserve"> TOC \o "1-3" \h \z \u </w:instrText>
          </w:r>
          <w:r w:rsidRPr="008119DE">
            <w:rPr>
              <w:sz w:val="24"/>
              <w:szCs w:val="24"/>
            </w:rPr>
            <w:fldChar w:fldCharType="separate"/>
          </w:r>
          <w:hyperlink w:anchor="_Toc2634019" w:history="1">
            <w:r w:rsidR="008119DE" w:rsidRPr="008119DE">
              <w:rPr>
                <w:rStyle w:val="Hipervnculo"/>
                <w:rFonts w:eastAsia="Times New Roman"/>
                <w:sz w:val="24"/>
                <w:szCs w:val="24"/>
              </w:rPr>
              <w:t>I.</w:t>
            </w:r>
            <w:r w:rsidR="008119DE" w:rsidRPr="008119DE">
              <w:rPr>
                <w:rFonts w:asciiTheme="minorHAnsi" w:eastAsiaTheme="minorEastAsia" w:hAnsiTheme="minorHAnsi"/>
                <w:b w:val="0"/>
                <w:sz w:val="24"/>
                <w:szCs w:val="24"/>
                <w:lang w:eastAsia="es-MX"/>
              </w:rPr>
              <w:tab/>
            </w:r>
            <w:r w:rsidR="008119DE" w:rsidRPr="008119DE">
              <w:rPr>
                <w:rStyle w:val="Hipervnculo"/>
                <w:rFonts w:eastAsia="Times New Roman"/>
                <w:sz w:val="24"/>
                <w:szCs w:val="24"/>
              </w:rPr>
              <w:t>Consideraciones Generales</w:t>
            </w:r>
            <w:r w:rsidR="008119DE" w:rsidRPr="008119DE">
              <w:rPr>
                <w:webHidden/>
                <w:sz w:val="24"/>
                <w:szCs w:val="24"/>
              </w:rPr>
              <w:tab/>
            </w:r>
            <w:r w:rsidR="008119DE" w:rsidRPr="008119DE">
              <w:rPr>
                <w:webHidden/>
                <w:sz w:val="24"/>
                <w:szCs w:val="24"/>
              </w:rPr>
              <w:fldChar w:fldCharType="begin"/>
            </w:r>
            <w:r w:rsidR="008119DE" w:rsidRPr="008119DE">
              <w:rPr>
                <w:webHidden/>
                <w:sz w:val="24"/>
                <w:szCs w:val="24"/>
              </w:rPr>
              <w:instrText xml:space="preserve"> PAGEREF _Toc2634019 \h </w:instrText>
            </w:r>
            <w:r w:rsidR="008119DE" w:rsidRPr="008119DE">
              <w:rPr>
                <w:webHidden/>
                <w:sz w:val="24"/>
                <w:szCs w:val="24"/>
              </w:rPr>
            </w:r>
            <w:r w:rsidR="008119DE" w:rsidRPr="008119DE">
              <w:rPr>
                <w:webHidden/>
                <w:sz w:val="24"/>
                <w:szCs w:val="24"/>
              </w:rPr>
              <w:fldChar w:fldCharType="separate"/>
            </w:r>
            <w:r w:rsidR="00EA7FDF">
              <w:rPr>
                <w:webHidden/>
                <w:sz w:val="24"/>
                <w:szCs w:val="24"/>
              </w:rPr>
              <w:t>1</w:t>
            </w:r>
            <w:r w:rsidR="008119DE" w:rsidRPr="008119DE">
              <w:rPr>
                <w:webHidden/>
                <w:sz w:val="24"/>
                <w:szCs w:val="24"/>
              </w:rPr>
              <w:fldChar w:fldCharType="end"/>
            </w:r>
          </w:hyperlink>
        </w:p>
        <w:p w:rsidR="008119DE" w:rsidRPr="008119DE" w:rsidRDefault="00B45B03">
          <w:pPr>
            <w:pStyle w:val="TDC1"/>
            <w:rPr>
              <w:rFonts w:asciiTheme="minorHAnsi" w:eastAsiaTheme="minorEastAsia" w:hAnsiTheme="minorHAnsi"/>
              <w:b w:val="0"/>
              <w:sz w:val="24"/>
              <w:szCs w:val="24"/>
              <w:lang w:eastAsia="es-MX"/>
            </w:rPr>
          </w:pPr>
          <w:hyperlink w:anchor="_Toc2634020" w:history="1">
            <w:r w:rsidR="008119DE" w:rsidRPr="008119DE">
              <w:rPr>
                <w:rStyle w:val="Hipervnculo"/>
                <w:rFonts w:eastAsia="Calibri"/>
                <w:sz w:val="24"/>
                <w:szCs w:val="24"/>
                <w:lang w:val="es-ES"/>
              </w:rPr>
              <w:t>II.</w:t>
            </w:r>
            <w:r w:rsidR="008119DE" w:rsidRPr="008119DE">
              <w:rPr>
                <w:rFonts w:asciiTheme="minorHAnsi" w:eastAsiaTheme="minorEastAsia" w:hAnsiTheme="minorHAnsi"/>
                <w:b w:val="0"/>
                <w:sz w:val="24"/>
                <w:szCs w:val="24"/>
                <w:lang w:eastAsia="es-MX"/>
              </w:rPr>
              <w:tab/>
            </w:r>
            <w:r w:rsidR="008119DE" w:rsidRPr="008119DE">
              <w:rPr>
                <w:rStyle w:val="Hipervnculo"/>
                <w:rFonts w:eastAsia="Calibri"/>
                <w:sz w:val="24"/>
                <w:szCs w:val="24"/>
                <w:lang w:val="es-ES"/>
              </w:rPr>
              <w:t>De los requerimientos planteados en el recurso de revisión.</w:t>
            </w:r>
            <w:r w:rsidR="008119DE" w:rsidRPr="008119DE">
              <w:rPr>
                <w:webHidden/>
                <w:sz w:val="24"/>
                <w:szCs w:val="24"/>
              </w:rPr>
              <w:tab/>
            </w:r>
            <w:r w:rsidR="008119DE" w:rsidRPr="008119DE">
              <w:rPr>
                <w:webHidden/>
                <w:sz w:val="24"/>
                <w:szCs w:val="24"/>
              </w:rPr>
              <w:fldChar w:fldCharType="begin"/>
            </w:r>
            <w:r w:rsidR="008119DE" w:rsidRPr="008119DE">
              <w:rPr>
                <w:webHidden/>
                <w:sz w:val="24"/>
                <w:szCs w:val="24"/>
              </w:rPr>
              <w:instrText xml:space="preserve"> PAGEREF _Toc2634020 \h </w:instrText>
            </w:r>
            <w:r w:rsidR="008119DE" w:rsidRPr="008119DE">
              <w:rPr>
                <w:webHidden/>
                <w:sz w:val="24"/>
                <w:szCs w:val="24"/>
              </w:rPr>
            </w:r>
            <w:r w:rsidR="008119DE" w:rsidRPr="008119DE">
              <w:rPr>
                <w:webHidden/>
                <w:sz w:val="24"/>
                <w:szCs w:val="24"/>
              </w:rPr>
              <w:fldChar w:fldCharType="separate"/>
            </w:r>
            <w:r w:rsidR="00EA7FDF">
              <w:rPr>
                <w:webHidden/>
                <w:sz w:val="24"/>
                <w:szCs w:val="24"/>
              </w:rPr>
              <w:t>2</w:t>
            </w:r>
            <w:r w:rsidR="008119DE" w:rsidRPr="008119DE">
              <w:rPr>
                <w:webHidden/>
                <w:sz w:val="24"/>
                <w:szCs w:val="24"/>
              </w:rPr>
              <w:fldChar w:fldCharType="end"/>
            </w:r>
          </w:hyperlink>
        </w:p>
        <w:p w:rsidR="008119DE" w:rsidRPr="008119DE" w:rsidRDefault="00B45B03">
          <w:pPr>
            <w:pStyle w:val="TDC2"/>
            <w:rPr>
              <w:rFonts w:asciiTheme="minorHAnsi" w:eastAsiaTheme="minorEastAsia" w:hAnsiTheme="minorHAnsi"/>
              <w:b w:val="0"/>
              <w:lang w:eastAsia="es-MX"/>
            </w:rPr>
          </w:pPr>
          <w:hyperlink w:anchor="_Toc2634021" w:history="1">
            <w:r w:rsidR="008119DE" w:rsidRPr="008119DE">
              <w:rPr>
                <w:rStyle w:val="Hipervnculo"/>
              </w:rPr>
              <w:t>III. Del Derecho de Acceso a la información pública y el deber de motivar.</w:t>
            </w:r>
            <w:r w:rsidR="008119DE" w:rsidRPr="008119DE">
              <w:rPr>
                <w:webHidden/>
              </w:rPr>
              <w:tab/>
            </w:r>
            <w:r w:rsidR="008119DE" w:rsidRPr="008119DE">
              <w:rPr>
                <w:webHidden/>
              </w:rPr>
              <w:fldChar w:fldCharType="begin"/>
            </w:r>
            <w:r w:rsidR="008119DE" w:rsidRPr="008119DE">
              <w:rPr>
                <w:webHidden/>
              </w:rPr>
              <w:instrText xml:space="preserve"> PAGEREF _Toc2634021 \h </w:instrText>
            </w:r>
            <w:r w:rsidR="008119DE" w:rsidRPr="008119DE">
              <w:rPr>
                <w:webHidden/>
              </w:rPr>
            </w:r>
            <w:r w:rsidR="008119DE" w:rsidRPr="008119DE">
              <w:rPr>
                <w:webHidden/>
              </w:rPr>
              <w:fldChar w:fldCharType="separate"/>
            </w:r>
            <w:r w:rsidR="00EA7FDF">
              <w:rPr>
                <w:webHidden/>
              </w:rPr>
              <w:t>9</w:t>
            </w:r>
            <w:r w:rsidR="008119DE" w:rsidRPr="008119DE">
              <w:rPr>
                <w:webHidden/>
              </w:rPr>
              <w:fldChar w:fldCharType="end"/>
            </w:r>
          </w:hyperlink>
        </w:p>
        <w:p w:rsidR="008119DE" w:rsidRPr="008119DE" w:rsidRDefault="00B45B03">
          <w:pPr>
            <w:pStyle w:val="TDC1"/>
            <w:rPr>
              <w:rFonts w:asciiTheme="minorHAnsi" w:eastAsiaTheme="minorEastAsia" w:hAnsiTheme="minorHAnsi"/>
              <w:b w:val="0"/>
              <w:sz w:val="24"/>
              <w:szCs w:val="24"/>
              <w:lang w:eastAsia="es-MX"/>
            </w:rPr>
          </w:pPr>
          <w:hyperlink w:anchor="_Toc2634022" w:history="1">
            <w:r w:rsidR="008119DE" w:rsidRPr="008119DE">
              <w:rPr>
                <w:rStyle w:val="Hipervnculo"/>
                <w:rFonts w:eastAsia="Calibri"/>
                <w:sz w:val="24"/>
                <w:szCs w:val="24"/>
              </w:rPr>
              <w:t>IV. Del Pronunciamiento simple</w:t>
            </w:r>
            <w:r w:rsidR="008119DE" w:rsidRPr="008119DE">
              <w:rPr>
                <w:webHidden/>
                <w:sz w:val="24"/>
                <w:szCs w:val="24"/>
              </w:rPr>
              <w:tab/>
            </w:r>
            <w:r w:rsidR="008119DE" w:rsidRPr="008119DE">
              <w:rPr>
                <w:webHidden/>
                <w:sz w:val="24"/>
                <w:szCs w:val="24"/>
              </w:rPr>
              <w:fldChar w:fldCharType="begin"/>
            </w:r>
            <w:r w:rsidR="008119DE" w:rsidRPr="008119DE">
              <w:rPr>
                <w:webHidden/>
                <w:sz w:val="24"/>
                <w:szCs w:val="24"/>
              </w:rPr>
              <w:instrText xml:space="preserve"> PAGEREF _Toc2634022 \h </w:instrText>
            </w:r>
            <w:r w:rsidR="008119DE" w:rsidRPr="008119DE">
              <w:rPr>
                <w:webHidden/>
                <w:sz w:val="24"/>
                <w:szCs w:val="24"/>
              </w:rPr>
            </w:r>
            <w:r w:rsidR="008119DE" w:rsidRPr="008119DE">
              <w:rPr>
                <w:webHidden/>
                <w:sz w:val="24"/>
                <w:szCs w:val="24"/>
              </w:rPr>
              <w:fldChar w:fldCharType="separate"/>
            </w:r>
            <w:r w:rsidR="00EA7FDF">
              <w:rPr>
                <w:webHidden/>
                <w:sz w:val="24"/>
                <w:szCs w:val="24"/>
              </w:rPr>
              <w:t>14</w:t>
            </w:r>
            <w:r w:rsidR="008119DE" w:rsidRPr="008119DE">
              <w:rPr>
                <w:webHidden/>
                <w:sz w:val="24"/>
                <w:szCs w:val="24"/>
              </w:rPr>
              <w:fldChar w:fldCharType="end"/>
            </w:r>
          </w:hyperlink>
        </w:p>
        <w:p w:rsidR="008119DE" w:rsidRPr="008119DE" w:rsidRDefault="00B45B03">
          <w:pPr>
            <w:pStyle w:val="TDC1"/>
            <w:rPr>
              <w:rFonts w:asciiTheme="minorHAnsi" w:eastAsiaTheme="minorEastAsia" w:hAnsiTheme="minorHAnsi"/>
              <w:b w:val="0"/>
              <w:sz w:val="24"/>
              <w:szCs w:val="24"/>
              <w:lang w:eastAsia="es-MX"/>
            </w:rPr>
          </w:pPr>
          <w:hyperlink w:anchor="_Toc2634023" w:history="1">
            <w:r w:rsidR="008119DE" w:rsidRPr="008119DE">
              <w:rPr>
                <w:rStyle w:val="Hipervnculo"/>
                <w:rFonts w:eastAsia="Calibri"/>
                <w:sz w:val="24"/>
                <w:szCs w:val="24"/>
              </w:rPr>
              <w:t>V. Conclusión.</w:t>
            </w:r>
            <w:r w:rsidR="008119DE" w:rsidRPr="008119DE">
              <w:rPr>
                <w:webHidden/>
                <w:sz w:val="24"/>
                <w:szCs w:val="24"/>
              </w:rPr>
              <w:tab/>
            </w:r>
            <w:r w:rsidR="008119DE" w:rsidRPr="008119DE">
              <w:rPr>
                <w:webHidden/>
                <w:sz w:val="24"/>
                <w:szCs w:val="24"/>
              </w:rPr>
              <w:fldChar w:fldCharType="begin"/>
            </w:r>
            <w:r w:rsidR="008119DE" w:rsidRPr="008119DE">
              <w:rPr>
                <w:webHidden/>
                <w:sz w:val="24"/>
                <w:szCs w:val="24"/>
              </w:rPr>
              <w:instrText xml:space="preserve"> PAGEREF _Toc2634023 \h </w:instrText>
            </w:r>
            <w:r w:rsidR="008119DE" w:rsidRPr="008119DE">
              <w:rPr>
                <w:webHidden/>
                <w:sz w:val="24"/>
                <w:szCs w:val="24"/>
              </w:rPr>
            </w:r>
            <w:r w:rsidR="008119DE" w:rsidRPr="008119DE">
              <w:rPr>
                <w:webHidden/>
                <w:sz w:val="24"/>
                <w:szCs w:val="24"/>
              </w:rPr>
              <w:fldChar w:fldCharType="separate"/>
            </w:r>
            <w:r w:rsidR="00EA7FDF">
              <w:rPr>
                <w:webHidden/>
                <w:sz w:val="24"/>
                <w:szCs w:val="24"/>
              </w:rPr>
              <w:t>32</w:t>
            </w:r>
            <w:r w:rsidR="008119DE" w:rsidRPr="008119DE">
              <w:rPr>
                <w:webHidden/>
                <w:sz w:val="24"/>
                <w:szCs w:val="24"/>
              </w:rPr>
              <w:fldChar w:fldCharType="end"/>
            </w:r>
          </w:hyperlink>
        </w:p>
        <w:p w:rsidR="00E6179D" w:rsidRPr="008119DE" w:rsidRDefault="00E6179D" w:rsidP="00B73B30">
          <w:pPr>
            <w:spacing w:line="360" w:lineRule="auto"/>
            <w:rPr>
              <w:rFonts w:ascii="Palatino Linotype" w:hAnsi="Palatino Linotype"/>
              <w:b/>
              <w:sz w:val="24"/>
              <w:szCs w:val="24"/>
            </w:rPr>
          </w:pPr>
          <w:r w:rsidRPr="008119D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263401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A571E">
        <w:rPr>
          <w:rFonts w:ascii="Palatino Linotype" w:eastAsia="Calibri" w:hAnsi="Palatino Linotype" w:cs="Arial"/>
          <w:sz w:val="24"/>
          <w:szCs w:val="24"/>
        </w:rPr>
        <w:t>Octava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A571E">
        <w:rPr>
          <w:rFonts w:ascii="Palatino Linotype" w:eastAsia="Calibri" w:hAnsi="Palatino Linotype" w:cs="Arial"/>
          <w:sz w:val="24"/>
          <w:szCs w:val="24"/>
        </w:rPr>
        <w:t>veintisiete</w:t>
      </w:r>
      <w:r w:rsidRPr="009F02EB">
        <w:rPr>
          <w:rFonts w:ascii="Palatino Linotype" w:eastAsia="Calibri" w:hAnsi="Palatino Linotype" w:cs="Arial"/>
          <w:sz w:val="24"/>
          <w:szCs w:val="24"/>
        </w:rPr>
        <w:t xml:space="preserve"> (</w:t>
      </w:r>
      <w:r w:rsidR="00FA571E">
        <w:rPr>
          <w:rFonts w:ascii="Palatino Linotype" w:eastAsia="Calibri" w:hAnsi="Palatino Linotype" w:cs="Arial"/>
          <w:sz w:val="24"/>
          <w:szCs w:val="24"/>
        </w:rPr>
        <w:t>27</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E54A92">
        <w:rPr>
          <w:rFonts w:ascii="Palatino Linotype" w:eastAsia="Calibri" w:hAnsi="Palatino Linotype" w:cs="Arial"/>
          <w:sz w:val="24"/>
          <w:szCs w:val="24"/>
        </w:rPr>
        <w:t>l</w:t>
      </w:r>
      <w:r w:rsidR="00703971" w:rsidRPr="00703971">
        <w:t xml:space="preserve"> </w:t>
      </w:r>
      <w:r w:rsidR="00703971" w:rsidRPr="00703971">
        <w:rPr>
          <w:rFonts w:ascii="Palatino Linotype" w:eastAsia="Calibri" w:hAnsi="Palatino Linotype" w:cs="Arial"/>
          <w:b/>
          <w:sz w:val="24"/>
          <w:szCs w:val="24"/>
        </w:rPr>
        <w:t>Ayuntamiento de Amanalco</w:t>
      </w:r>
      <w:r w:rsidR="00E54A92" w:rsidRPr="00703971">
        <w:rPr>
          <w:rFonts w:ascii="Palatino Linotype" w:eastAsia="Calibri" w:hAnsi="Palatino Linotype" w:cs="Arial"/>
          <w:b/>
          <w:sz w:val="24"/>
          <w:szCs w:val="24"/>
        </w:rPr>
        <w:t>,</w:t>
      </w:r>
      <w:r w:rsidR="00E54A92">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703971">
        <w:rPr>
          <w:rFonts w:ascii="Palatino Linotype" w:hAnsi="Palatino Linotype" w:cs="Arial"/>
          <w:b/>
          <w:bCs/>
          <w:sz w:val="24"/>
          <w:szCs w:val="24"/>
        </w:rPr>
        <w:t>775</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E54A92">
        <w:rPr>
          <w:rFonts w:ascii="Palatino Linotype" w:eastAsia="Calibri" w:hAnsi="Palatino Linotype" w:cs="Arial"/>
          <w:b/>
          <w:sz w:val="24"/>
          <w:szCs w:val="24"/>
        </w:rPr>
        <w:t xml:space="preserve">ORDENAR </w:t>
      </w:r>
      <w:r w:rsidRPr="00427B79">
        <w:rPr>
          <w:rFonts w:ascii="Palatino Linotype" w:eastAsia="Calibri" w:hAnsi="Palatino Linotype" w:cs="Arial"/>
          <w:sz w:val="24"/>
          <w:szCs w:val="24"/>
        </w:rPr>
        <w:t>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263402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E54A92">
        <w:rPr>
          <w:rFonts w:ascii="Palatino Linotype" w:eastAsia="Calibri" w:hAnsi="Palatino Linotype" w:cs="Times New Roman"/>
          <w:sz w:val="24"/>
          <w:szCs w:val="24"/>
        </w:rPr>
        <w:t xml:space="preserve"> el</w:t>
      </w:r>
      <w:r w:rsidR="00703971" w:rsidRPr="00703971">
        <w:t xml:space="preserve"> </w:t>
      </w:r>
      <w:r w:rsidR="00703971" w:rsidRPr="00703971">
        <w:rPr>
          <w:rFonts w:ascii="Palatino Linotype" w:eastAsia="Calibri" w:hAnsi="Palatino Linotype" w:cs="Times New Roman"/>
          <w:b/>
          <w:sz w:val="24"/>
          <w:szCs w:val="24"/>
        </w:rPr>
        <w:t>Ayuntamiento de Amanalco</w:t>
      </w:r>
      <w:r w:rsidR="00FB227F" w:rsidRPr="00703971">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703971" w:rsidRPr="00703971" w:rsidRDefault="00703971" w:rsidP="00703971">
      <w:pPr>
        <w:autoSpaceDE w:val="0"/>
        <w:autoSpaceDN w:val="0"/>
        <w:adjustRightInd w:val="0"/>
        <w:spacing w:line="360" w:lineRule="auto"/>
        <w:ind w:left="851" w:right="900"/>
        <w:jc w:val="both"/>
        <w:rPr>
          <w:rFonts w:ascii="Palatino Linotype" w:hAnsi="Palatino Linotype" w:cs="Arial"/>
          <w:noProof/>
          <w:sz w:val="24"/>
          <w:szCs w:val="24"/>
          <w:lang w:eastAsia="es-MX"/>
        </w:rPr>
      </w:pPr>
      <w:r w:rsidRPr="00703971">
        <w:rPr>
          <w:rFonts w:ascii="Palatino Linotype" w:hAnsi="Palatino Linotype" w:cs="Arial"/>
          <w:noProof/>
          <w:sz w:val="24"/>
          <w:szCs w:val="24"/>
          <w:lang w:eastAsia="es-MX"/>
        </w:rPr>
        <w:t>00033/AMANALCO/IP/2018</w:t>
      </w:r>
    </w:p>
    <w:p w:rsidR="00B01158" w:rsidRPr="00703971" w:rsidRDefault="00703971" w:rsidP="00703971">
      <w:pPr>
        <w:autoSpaceDE w:val="0"/>
        <w:autoSpaceDN w:val="0"/>
        <w:adjustRightInd w:val="0"/>
        <w:spacing w:line="360" w:lineRule="auto"/>
        <w:ind w:left="851" w:right="900"/>
        <w:jc w:val="both"/>
        <w:rPr>
          <w:rFonts w:ascii="Palatino Linotype" w:hAnsi="Palatino Linotype" w:cs="Arial"/>
          <w:noProof/>
          <w:sz w:val="24"/>
          <w:szCs w:val="24"/>
          <w:lang w:eastAsia="es-MX"/>
        </w:rPr>
      </w:pPr>
      <w:r w:rsidRPr="00703971">
        <w:rPr>
          <w:rFonts w:ascii="Palatino Linotype" w:hAnsi="Palatino Linotype" w:cs="Arial"/>
          <w:noProof/>
          <w:sz w:val="24"/>
          <w:szCs w:val="24"/>
          <w:lang w:eastAsia="es-MX"/>
        </w:rPr>
        <w:t>“Se adjunta documento” [Sic]</w:t>
      </w:r>
    </w:p>
    <w:p w:rsidR="00B01158" w:rsidRDefault="00B01158" w:rsidP="00B01158">
      <w:pPr>
        <w:pStyle w:val="Prrafodelista"/>
        <w:autoSpaceDE w:val="0"/>
        <w:autoSpaceDN w:val="0"/>
        <w:adjustRightInd w:val="0"/>
        <w:spacing w:line="360" w:lineRule="auto"/>
        <w:ind w:left="0" w:right="49"/>
        <w:jc w:val="both"/>
        <w:rPr>
          <w:rFonts w:ascii="Palatino Linotype" w:eastAsia="Calibri" w:hAnsi="Palatino Linotype" w:cs="Arial"/>
          <w:sz w:val="24"/>
          <w:szCs w:val="24"/>
        </w:rPr>
      </w:pPr>
    </w:p>
    <w:p w:rsidR="000E4D6E" w:rsidRPr="002B6741" w:rsidRDefault="00E6179D" w:rsidP="00703971">
      <w:pPr>
        <w:pStyle w:val="Prrafodelista"/>
        <w:numPr>
          <w:ilvl w:val="0"/>
          <w:numId w:val="1"/>
        </w:numPr>
        <w:autoSpaceDE w:val="0"/>
        <w:autoSpaceDN w:val="0"/>
        <w:adjustRightInd w:val="0"/>
        <w:spacing w:line="360" w:lineRule="auto"/>
        <w:ind w:right="49"/>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w:t>
      </w:r>
      <w:r w:rsidR="00703971" w:rsidRPr="002B6741">
        <w:rPr>
          <w:rFonts w:ascii="Palatino Linotype" w:eastAsia="Calibri" w:hAnsi="Palatino Linotype" w:cs="Arial"/>
          <w:sz w:val="24"/>
          <w:szCs w:val="24"/>
        </w:rPr>
        <w:t xml:space="preserve">Ponencia </w:t>
      </w:r>
      <w:r w:rsidRPr="002B6741">
        <w:rPr>
          <w:rFonts w:ascii="Palatino Linotype" w:eastAsia="Calibri" w:hAnsi="Palatino Linotype" w:cs="Arial"/>
          <w:sz w:val="24"/>
          <w:szCs w:val="24"/>
        </w:rPr>
        <w:t xml:space="preserve">la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B01158">
        <w:rPr>
          <w:rFonts w:ascii="Palatino Linotype" w:eastAsia="Calibri" w:hAnsi="Palatino Linotype" w:cs="Arial"/>
          <w:sz w:val="24"/>
          <w:szCs w:val="24"/>
        </w:rPr>
        <w:t>l</w:t>
      </w:r>
      <w:r w:rsidR="00703971" w:rsidRPr="00703971">
        <w:t xml:space="preserve"> </w:t>
      </w:r>
      <w:r w:rsidR="00703971" w:rsidRPr="00703971">
        <w:rPr>
          <w:rFonts w:ascii="Palatino Linotype" w:eastAsia="Calibri" w:hAnsi="Palatino Linotype" w:cs="Arial"/>
          <w:b/>
          <w:sz w:val="24"/>
          <w:szCs w:val="24"/>
        </w:rPr>
        <w:t>Ayuntamiento de Amanalco,</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703971" w:rsidRDefault="00480F5B" w:rsidP="00703971">
      <w:pPr>
        <w:pStyle w:val="Prrafodelista"/>
        <w:numPr>
          <w:ilvl w:val="0"/>
          <w:numId w:val="1"/>
        </w:numPr>
        <w:spacing w:before="120" w:after="120" w:line="360" w:lineRule="auto"/>
        <w:ind w:right="49"/>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B01158" w:rsidRPr="00B01158">
        <w:t xml:space="preserve"> </w:t>
      </w:r>
      <w:r w:rsidR="00B01158" w:rsidRPr="00B01158">
        <w:rPr>
          <w:rFonts w:ascii="Palatino Linotype" w:hAnsi="Palatino Linotype"/>
          <w:sz w:val="24"/>
          <w:szCs w:val="24"/>
        </w:rPr>
        <w:t>al</w:t>
      </w:r>
      <w:r w:rsidR="00703971" w:rsidRPr="00703971">
        <w:t xml:space="preserve"> </w:t>
      </w:r>
      <w:r w:rsidR="00703971" w:rsidRPr="00703971">
        <w:rPr>
          <w:rFonts w:ascii="Palatino Linotype" w:hAnsi="Palatino Linotype"/>
          <w:b/>
          <w:sz w:val="24"/>
          <w:szCs w:val="24"/>
        </w:rPr>
        <w:t>Ayuntamiento de Amanalco</w:t>
      </w:r>
      <w:r w:rsidR="00B01158" w:rsidRPr="00B01158">
        <w:rPr>
          <w:rFonts w:ascii="Palatino Linotype" w:hAnsi="Palatino Linotype" w:cs="Arial"/>
          <w:b/>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703971" w:rsidRPr="00703971" w:rsidRDefault="00703971" w:rsidP="00703971">
      <w:pPr>
        <w:pStyle w:val="Prrafodelista"/>
        <w:rPr>
          <w:rFonts w:ascii="Palatino Linotype" w:hAnsi="Palatino Linotype"/>
          <w:sz w:val="24"/>
          <w:szCs w:val="24"/>
        </w:rPr>
      </w:pPr>
    </w:p>
    <w:p w:rsidR="00703971" w:rsidRPr="00FE3923" w:rsidRDefault="00703971" w:rsidP="00703971">
      <w:pPr>
        <w:pStyle w:val="Prrafodelista"/>
        <w:spacing w:before="120" w:after="120" w:line="360" w:lineRule="auto"/>
        <w:ind w:left="360" w:right="49"/>
        <w:jc w:val="both"/>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 El importe por concepto de alumbrado público facturado por CFE en el Ayuntamiento, desglosado por mes o bimestre, del periodo que comprende </w:t>
      </w:r>
      <w:r w:rsidRPr="00703971">
        <w:rPr>
          <w:rFonts w:ascii="Palatino Linotype" w:hAnsi="Palatino Linotype"/>
          <w:sz w:val="24"/>
          <w:szCs w:val="24"/>
        </w:rPr>
        <w:lastRenderedPageBreak/>
        <w:t xml:space="preserve">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2. El adeudo del Ayuntamiento por concepto de consumo de energía eléctrica en el alumbrado público ante CFE o cualquier otra empresa suministradora de energía eléctrica.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4. La o las partidas presupuestales que se utilizaron y los montos que se pagaron por mes para cubrir la factura por concepto de consumo de energía eléctrica en el sistema de alumbrado público municipal del periodo que comprende 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6. El censo o documento en donde conste los relativo al alumbrado público de los ejercicios 2016, 2017, 2018 o en su caso, el censo más reciente del municipio, en el que se advierta la siguiente información: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lastRenderedPageBreak/>
        <w:t xml:space="preserve">a) La cantidad de luminarias y balastros, el tipo de equipos, la capacidad (potencia), la ubicación (calle y/o colonia y/o delegación), y el tipo de poste en el que están montadas las luminarias (lámina, concreto, madera etcétera).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b) La cantidad de luminarias y balastros instalados, el tipo de equipos y su capacidad (potencia) instalados en las avenidas principales del municipio.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c) La cantidad de luminarias y balastros instalados, el tipo de equipos y su capacidad (potencia) instalados que poseen equipo de medición.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7. El Registro Móvil de Usuario asignado (s) al servicio de alumbrado público municipal tanto del servicio estimado como del servicio medido.</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8. De los proyectos de electrificación para ampliar el sistema de alumbrado público y ofrecer este servicio a la o las comunidades del periodo que comprende del primero de enero de dos mil trece al trece de noviembre de dos mil dieciocho, remitir la siguiente información: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a) El monto total de la inversión,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b) El tipo o fuente de financiamiento (recurso propio, recurso estatal, recurso federal, crédito, arrendamiento, APP, etcétera),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c) La cantidad de equipos colocados y/o sustituidos,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d) El tipo de equipos (Led, VSAP, suburbana, etcétera),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e) La capacidad instalada (potencia),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f) La ubicación (calle y/o colonia y/o delegación).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g) La fecha de inicio y término de obra,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h) La fecha de modificación de su nuevo consumo en el sistema de facturación del alumbrado público ante CFE.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i) Lugar de notificación o publicación de los proyectos.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9. De los proyectos parciales o totales de modernización de alumbrado público para generar eficiencia energética en sus consumos del periodo que </w:t>
      </w:r>
      <w:r w:rsidRPr="00703971">
        <w:rPr>
          <w:rFonts w:ascii="Palatino Linotype" w:hAnsi="Palatino Linotype"/>
          <w:sz w:val="24"/>
          <w:szCs w:val="24"/>
        </w:rPr>
        <w:lastRenderedPageBreak/>
        <w:t xml:space="preserve">comprende del primero de enero de dos mil trece al trece de noviembre de dos mil dieciocho, remitir la siguiente información: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a) El monto total de la inversión,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b) El tipo o fuente de financiamiento (recurso propio, recurso estatal, recurso federal, crédito, arrendamiento, APP, etcétera),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c) La cantidad de equipos colocados y/o sustituidos,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d) El tipo de equipos (Led, VSAP, suburbana, etcétera),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e) La capacidad instalada (potencia),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f) La ubicación (calle y/o colonia y/o delegación).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g) La fecha de inicio y término de obra,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h) La georreferenciación de cada uno de los puntos de luz del nuevo alumbrado público,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i) La fecha de modificación de su nuevo consumo en el sistema de facturación del alumbrado público ante CFE.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j) El tipo de contrato celebrado para la adquisición de los nuevos equipos (licitación en su modalidad abierta o restringida, o adjudicación directa)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k) Número y nombre de las empresas concursantes o convocadas.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l) Los criterios de selección utilizados por el comité de adquisiciones para elegir a la empresa contratada para realizar la modernización del sistema de alumbrado público. </w:t>
      </w: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m) El acta de cabildo en el cual se fundamenta, justifica, expone y autoriza el proyecto.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10. El número de solicitudes ciudadanas formales realizadas al Ayuntamiento para ampliar el sistema de alumbrado público mediante proyectos de electrificación del periodo que comprende 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11. El número de solicitudes ciudadanas que fueron atendidas y concluidas para ampliar el sistema de alumbrado público del periodo que comprende </w:t>
      </w:r>
      <w:r w:rsidRPr="00703971">
        <w:rPr>
          <w:rFonts w:ascii="Palatino Linotype" w:hAnsi="Palatino Linotype"/>
          <w:sz w:val="24"/>
          <w:szCs w:val="24"/>
        </w:rPr>
        <w:lastRenderedPageBreak/>
        <w:t xml:space="preserve">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12. El contrato de prestación de servicios por concepto de suministro de energía eléctrica por parte de la CFE al Ayuntamiento.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13. El último convenio de “Peso por Peso” firmado entre la CFE y el Ayuntamiento al trece de noviembre de dos mil dieciocho.</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14. El convenio para recaudar el Derecho de Alumbrado Público “DAP” firmado entre la CFE y el Ayuntamiento. Así como la recaudación (monto) reportado por CFE al Ayuntamiento del periodo que comprende 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15. El número de juicios y controversias promovidos por particulares en contra del Ayuntamiento por el cobro del Derecho de Alumbrado Público “DAP” del periodo que comprende 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16. El número de juicios y controversias perdidos y ganados por el Ayuntamiento ante los particulares que reclaman el pago indebido del Derecho de Alumbrado Público del periodo que comprende del primero de enero de dos mil trece al trece de noviembre de dos mil dieciocho.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17. Las normas y lineamientos que el municipio sigue para operar y proporcionar el servicio de alumbrado público municipal.  </w:t>
      </w:r>
    </w:p>
    <w:p w:rsidR="00703971" w:rsidRPr="00703971" w:rsidRDefault="00703971" w:rsidP="00703971">
      <w:pPr>
        <w:pStyle w:val="Prrafodelista"/>
        <w:rPr>
          <w:rFonts w:ascii="Palatino Linotype" w:hAnsi="Palatino Linotype"/>
          <w:sz w:val="24"/>
          <w:szCs w:val="24"/>
        </w:rPr>
      </w:pPr>
    </w:p>
    <w:p w:rsidR="00703971" w:rsidRPr="00703971" w:rsidRDefault="00703971" w:rsidP="00703971">
      <w:pPr>
        <w:pStyle w:val="Prrafodelista"/>
        <w:rPr>
          <w:rFonts w:ascii="Palatino Linotype" w:hAnsi="Palatino Linotype"/>
          <w:sz w:val="24"/>
          <w:szCs w:val="24"/>
        </w:rPr>
      </w:pPr>
      <w:r w:rsidRPr="00703971">
        <w:rPr>
          <w:rFonts w:ascii="Palatino Linotype" w:hAnsi="Palatino Linotype"/>
          <w:sz w:val="24"/>
          <w:szCs w:val="24"/>
        </w:rPr>
        <w:t xml:space="preserve">Como sustento de la versión pública, se deberá entregar el Acuerdo del Comité de Transparencia correspondiente, en términos del artículo 49 fracción VIII y 132 fracción II de la Ley de Transparencia y Acceso a la </w:t>
      </w:r>
      <w:r w:rsidRPr="00703971">
        <w:rPr>
          <w:rFonts w:ascii="Palatino Linotype" w:hAnsi="Palatino Linotype"/>
          <w:sz w:val="24"/>
          <w:szCs w:val="24"/>
        </w:rPr>
        <w:lastRenderedPageBreak/>
        <w:t>Información Pública del Estado de México y Municipios, en el que funde y motive las razones sobre los datos que se supriman o eliminen dentro del soporte documental respectivo y se ponga a disposición de la Recurrente.</w:t>
      </w:r>
    </w:p>
    <w:p w:rsidR="008D1AC0" w:rsidRDefault="008D1AC0" w:rsidP="008D1AC0">
      <w:pPr>
        <w:pStyle w:val="Prrafodelista"/>
        <w:rPr>
          <w:rFonts w:ascii="Palatino Linotype" w:hAnsi="Palatino Linotype"/>
          <w:sz w:val="24"/>
          <w:szCs w:val="24"/>
        </w:rPr>
      </w:pPr>
    </w:p>
    <w:p w:rsidR="006F2672" w:rsidRDefault="00703971" w:rsidP="008D1AC0">
      <w:pPr>
        <w:pStyle w:val="Prrafodelista"/>
        <w:rPr>
          <w:rFonts w:ascii="Palatino Linotype" w:hAnsi="Palatino Linotype"/>
          <w:sz w:val="24"/>
          <w:szCs w:val="24"/>
        </w:rPr>
      </w:pPr>
      <w:r w:rsidRPr="00703971">
        <w:rPr>
          <w:rFonts w:ascii="Palatino Linotype" w:hAnsi="Palatino Linotype"/>
          <w:sz w:val="24"/>
          <w:szCs w:val="24"/>
        </w:rPr>
        <w:t>En el supuesto de que la información referida en los puntos 2, 9, 10, 11, 13, 14, 15 y 16 no haya sido generada, poseída o administrada por el Sujeto Obligado, bastará con que así lo manifieste.</w:t>
      </w:r>
    </w:p>
    <w:p w:rsidR="008D1AC0" w:rsidRPr="008D1AC0" w:rsidRDefault="008D1AC0" w:rsidP="008D1AC0">
      <w:pPr>
        <w:pStyle w:val="Prrafodelista"/>
        <w:rPr>
          <w:rFonts w:ascii="Palatino Linotype" w:hAnsi="Palatino Linotype"/>
          <w:sz w:val="24"/>
          <w:szCs w:val="24"/>
        </w:rPr>
      </w:pPr>
    </w:p>
    <w:p w:rsidR="004C5E6A" w:rsidRDefault="00594E5C" w:rsidP="008D1AC0">
      <w:pPr>
        <w:pStyle w:val="Prrafodelista"/>
        <w:numPr>
          <w:ilvl w:val="0"/>
          <w:numId w:val="1"/>
        </w:numPr>
        <w:spacing w:before="240" w:after="240" w:line="360" w:lineRule="auto"/>
        <w:ind w:right="49"/>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A565E0">
        <w:rPr>
          <w:rFonts w:ascii="Palatino Linotype" w:eastAsia="Times New Roman" w:hAnsi="Palatino Linotype" w:cs="Arial"/>
          <w:sz w:val="24"/>
        </w:rPr>
        <w:t>los numerales</w:t>
      </w:r>
      <w:r w:rsidR="008D1AC0">
        <w:rPr>
          <w:rFonts w:ascii="Palatino Linotype" w:eastAsia="Times New Roman" w:hAnsi="Palatino Linotype" w:cs="Arial"/>
          <w:sz w:val="24"/>
        </w:rPr>
        <w:t xml:space="preserve"> </w:t>
      </w:r>
      <w:r w:rsidR="008D1AC0" w:rsidRPr="008D1AC0">
        <w:rPr>
          <w:rFonts w:ascii="Palatino Linotype" w:eastAsia="Times New Roman" w:hAnsi="Palatino Linotype" w:cs="Arial"/>
          <w:sz w:val="24"/>
        </w:rPr>
        <w:t>2, 9, 10, 11, 13, 14, 15 y 16</w:t>
      </w:r>
      <w:r w:rsidR="00856D24">
        <w:rPr>
          <w:rFonts w:ascii="Palatino Linotype" w:eastAsia="Times New Roman" w:hAnsi="Palatino Linotype" w:cs="Arial"/>
          <w:sz w:val="24"/>
        </w:rPr>
        <w:t>)</w:t>
      </w:r>
      <w:r w:rsidR="00871B60">
        <w:rPr>
          <w:rFonts w:ascii="Palatino Linotype" w:eastAsia="Times New Roman" w:hAnsi="Palatino Linotype" w:cs="Arial"/>
          <w:sz w:val="24"/>
        </w:rPr>
        <w:t>:</w:t>
      </w:r>
    </w:p>
    <w:p w:rsidR="008D1AC0" w:rsidRPr="008D1AC0" w:rsidRDefault="008D1AC0" w:rsidP="008D1AC0">
      <w:pPr>
        <w:pStyle w:val="Prrafodelista"/>
        <w:spacing w:before="240" w:after="240" w:line="360" w:lineRule="auto"/>
        <w:ind w:left="360" w:right="49"/>
        <w:jc w:val="both"/>
        <w:rPr>
          <w:rFonts w:ascii="Palatino Linotype" w:eastAsia="Times New Roman" w:hAnsi="Palatino Linotype" w:cs="Arial"/>
          <w:i/>
          <w:sz w:val="24"/>
        </w:rPr>
      </w:pPr>
    </w:p>
    <w:p w:rsidR="00720807" w:rsidRDefault="008D1AC0" w:rsidP="008D1AC0">
      <w:pPr>
        <w:pStyle w:val="Prrafodelista"/>
        <w:spacing w:before="240" w:after="240" w:line="360" w:lineRule="auto"/>
        <w:ind w:left="709" w:right="49"/>
        <w:jc w:val="both"/>
        <w:rPr>
          <w:rFonts w:ascii="Palatino Linotype" w:eastAsia="Times New Roman" w:hAnsi="Palatino Linotype" w:cs="Arial"/>
          <w:sz w:val="24"/>
        </w:rPr>
      </w:pPr>
      <w:r w:rsidRPr="008D1AC0">
        <w:rPr>
          <w:rFonts w:ascii="Palatino Linotype" w:eastAsia="Times New Roman" w:hAnsi="Palatino Linotype" w:cs="Arial"/>
          <w:sz w:val="24"/>
        </w:rPr>
        <w:t>En el supuesto de que la información referida en los puntos 2, 9, 10, 11, 13, 14, 15 y 16 no haya sido generada, poseída o administrada por el Sujeto Obligado, bastará con que así lo manifieste.</w:t>
      </w:r>
    </w:p>
    <w:p w:rsidR="008D1AC0" w:rsidRPr="008D1AC0" w:rsidRDefault="008D1AC0" w:rsidP="008D1AC0">
      <w:pPr>
        <w:pStyle w:val="Prrafodelista"/>
        <w:spacing w:before="240" w:after="240" w:line="360" w:lineRule="auto"/>
        <w:ind w:left="709"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2634021"/>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263402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w:t>
      </w:r>
      <w:r w:rsidRPr="00B21F85">
        <w:rPr>
          <w:rFonts w:ascii="Palatino Linotype" w:hAnsi="Palatino Linotype"/>
          <w:sz w:val="24"/>
          <w:szCs w:val="24"/>
        </w:rPr>
        <w:lastRenderedPageBreak/>
        <w:t xml:space="preserve">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 xml:space="preserve">aprobar </w:t>
      </w:r>
      <w:r w:rsidRPr="00450598">
        <w:rPr>
          <w:rFonts w:ascii="Palatino Linotype" w:hAnsi="Palatino Linotype" w:cs="Arial"/>
          <w:sz w:val="24"/>
          <w:szCs w:val="24"/>
          <w:u w:val="single"/>
        </w:rPr>
        <w:lastRenderedPageBreak/>
        <w:t>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w:t>
      </w:r>
      <w:r w:rsidRPr="00450598">
        <w:rPr>
          <w:rFonts w:ascii="Palatino Linotype" w:hAnsi="Palatino Linotype" w:cs="Arial"/>
          <w:sz w:val="24"/>
          <w:szCs w:val="24"/>
        </w:rPr>
        <w:lastRenderedPageBreak/>
        <w:t>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w:t>
      </w:r>
      <w:r w:rsidRPr="00B21F85">
        <w:rPr>
          <w:rFonts w:ascii="Palatino Linotype" w:hAnsi="Palatino Linotype"/>
          <w:sz w:val="24"/>
          <w:szCs w:val="24"/>
        </w:rPr>
        <w:lastRenderedPageBreak/>
        <w:t xml:space="preserve">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w:t>
      </w:r>
      <w:r w:rsidRPr="00B21F85">
        <w:rPr>
          <w:rFonts w:ascii="Palatino Linotype" w:hAnsi="Palatino Linotype"/>
          <w:sz w:val="24"/>
          <w:szCs w:val="24"/>
        </w:rPr>
        <w:lastRenderedPageBreak/>
        <w:t>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w:t>
      </w:r>
      <w:r w:rsidRPr="00B21F85">
        <w:rPr>
          <w:rFonts w:ascii="Palatino Linotype" w:hAnsi="Palatino Linotype"/>
          <w:sz w:val="24"/>
          <w:szCs w:val="24"/>
        </w:rPr>
        <w:lastRenderedPageBreak/>
        <w:t xml:space="preserve">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B21F85">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9B1407" w:rsidRPr="009B1407" w:rsidRDefault="00CC153F" w:rsidP="009B1407">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215264</wp:posOffset>
                </wp:positionH>
                <wp:positionV relativeFrom="paragraph">
                  <wp:posOffset>118745</wp:posOffset>
                </wp:positionV>
                <wp:extent cx="5095875" cy="3752850"/>
                <wp:effectExtent l="19050" t="19050" r="28575" b="19050"/>
                <wp:wrapNone/>
                <wp:docPr id="6" name="Conector recto 6"/>
                <wp:cNvGraphicFramePr/>
                <a:graphic xmlns:a="http://schemas.openxmlformats.org/drawingml/2006/main">
                  <a:graphicData uri="http://schemas.microsoft.com/office/word/2010/wordprocessingShape">
                    <wps:wsp>
                      <wps:cNvCnPr/>
                      <wps:spPr>
                        <a:xfrm>
                          <a:off x="0" y="0"/>
                          <a:ext cx="5095875" cy="37528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0A4E5"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5pt,9.35pt" to="418.2pt,3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" strokecolor="#5b9bd5 [3204]" strokeweight="2.25pt">
                <v:stroke joinstyle="miter"/>
              </v:line>
            </w:pict>
          </mc:Fallback>
        </mc:AlternateContent>
      </w:r>
    </w:p>
    <w:p w:rsidR="0016599D" w:rsidRDefault="0016599D" w:rsidP="00CD53CB">
      <w:pPr>
        <w:pStyle w:val="Ttulo1"/>
        <w:rPr>
          <w:rFonts w:eastAsia="Calibri"/>
          <w:color w:val="auto"/>
          <w:szCs w:val="24"/>
        </w:rPr>
      </w:pPr>
    </w:p>
    <w:p w:rsidR="0016599D" w:rsidRDefault="0016599D" w:rsidP="00CD53CB">
      <w:pPr>
        <w:pStyle w:val="Ttulo1"/>
        <w:rPr>
          <w:rFonts w:eastAsia="Calibri"/>
          <w:color w:val="auto"/>
          <w:szCs w:val="24"/>
        </w:rPr>
      </w:pPr>
    </w:p>
    <w:p w:rsidR="0016599D" w:rsidRDefault="0016599D" w:rsidP="00CD53CB">
      <w:pPr>
        <w:pStyle w:val="Ttulo1"/>
        <w:rPr>
          <w:rFonts w:eastAsia="Calibri"/>
          <w:color w:val="auto"/>
          <w:szCs w:val="24"/>
        </w:rPr>
      </w:pPr>
    </w:p>
    <w:p w:rsidR="0016599D" w:rsidRDefault="0016599D" w:rsidP="00CD53CB">
      <w:pPr>
        <w:pStyle w:val="Ttulo1"/>
        <w:rPr>
          <w:rFonts w:eastAsia="Calibri"/>
          <w:color w:val="auto"/>
          <w:szCs w:val="24"/>
        </w:rPr>
      </w:pPr>
    </w:p>
    <w:p w:rsidR="0016599D" w:rsidRDefault="0016599D" w:rsidP="00CD53CB">
      <w:pPr>
        <w:pStyle w:val="Ttulo1"/>
        <w:rPr>
          <w:rFonts w:eastAsia="Calibri"/>
          <w:color w:val="auto"/>
          <w:szCs w:val="24"/>
        </w:rPr>
      </w:pPr>
    </w:p>
    <w:p w:rsidR="0016599D" w:rsidRDefault="0016599D" w:rsidP="00CD53CB">
      <w:pPr>
        <w:pStyle w:val="Ttulo1"/>
        <w:rPr>
          <w:rFonts w:eastAsia="Calibri"/>
          <w:color w:val="auto"/>
          <w:szCs w:val="24"/>
        </w:rPr>
      </w:pPr>
    </w:p>
    <w:p w:rsidR="0016599D" w:rsidRDefault="0016599D" w:rsidP="00CD53CB">
      <w:pPr>
        <w:pStyle w:val="Ttulo1"/>
        <w:rPr>
          <w:rFonts w:asciiTheme="minorHAnsi" w:eastAsiaTheme="minorHAnsi" w:hAnsiTheme="minorHAnsi" w:cstheme="minorBidi"/>
          <w:b w:val="0"/>
          <w:color w:val="auto"/>
          <w:sz w:val="22"/>
          <w:szCs w:val="22"/>
        </w:rPr>
      </w:pPr>
    </w:p>
    <w:p w:rsidR="0016599D" w:rsidRPr="0016599D" w:rsidRDefault="0016599D" w:rsidP="0016599D"/>
    <w:p w:rsidR="00E6179D" w:rsidRPr="0083488C" w:rsidRDefault="00CD53CB" w:rsidP="00CD53CB">
      <w:pPr>
        <w:pStyle w:val="Ttulo1"/>
        <w:rPr>
          <w:rFonts w:eastAsia="Calibri"/>
          <w:szCs w:val="24"/>
        </w:rPr>
      </w:pPr>
      <w:bookmarkStart w:id="6" w:name="_Toc2634023"/>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16599D" w:rsidRDefault="0016599D" w:rsidP="00E6179D">
      <w:pPr>
        <w:rPr>
          <w:rFonts w:ascii="Palatino Linotype" w:hAnsi="Palatino Linotype"/>
          <w:color w:val="000000" w:themeColor="text1"/>
          <w:sz w:val="24"/>
          <w:szCs w:val="24"/>
        </w:rPr>
      </w:pPr>
    </w:p>
    <w:p w:rsidR="0016599D" w:rsidRDefault="0016599D" w:rsidP="00E6179D">
      <w:pPr>
        <w:rPr>
          <w:rFonts w:ascii="Palatino Linotype" w:hAnsi="Palatino Linotype"/>
          <w:color w:val="000000" w:themeColor="text1"/>
          <w:sz w:val="24"/>
          <w:szCs w:val="24"/>
        </w:rPr>
      </w:pPr>
    </w:p>
    <w:p w:rsidR="0016599D" w:rsidRDefault="0016599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03" w:rsidRDefault="00B45B03" w:rsidP="00E82D3D">
      <w:pPr>
        <w:spacing w:after="0" w:line="240" w:lineRule="auto"/>
      </w:pPr>
      <w:r>
        <w:separator/>
      </w:r>
    </w:p>
  </w:endnote>
  <w:endnote w:type="continuationSeparator" w:id="0">
    <w:p w:rsidR="00B45B03" w:rsidRDefault="00B45B03"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36A8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36A8B">
              <w:rPr>
                <w:b/>
                <w:bCs/>
                <w:noProof/>
              </w:rPr>
              <w:t>32</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03" w:rsidRDefault="00B45B03" w:rsidP="00E82D3D">
      <w:pPr>
        <w:spacing w:after="0" w:line="240" w:lineRule="auto"/>
      </w:pPr>
      <w:r>
        <w:separator/>
      </w:r>
    </w:p>
  </w:footnote>
  <w:footnote w:type="continuationSeparator" w:id="0">
    <w:p w:rsidR="00B45B03" w:rsidRDefault="00B45B03"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45B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45B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45B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2"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9"/>
  </w:num>
  <w:num w:numId="3">
    <w:abstractNumId w:val="5"/>
  </w:num>
  <w:num w:numId="4">
    <w:abstractNumId w:val="36"/>
  </w:num>
  <w:num w:numId="5">
    <w:abstractNumId w:val="1"/>
  </w:num>
  <w:num w:numId="6">
    <w:abstractNumId w:val="2"/>
  </w:num>
  <w:num w:numId="7">
    <w:abstractNumId w:val="18"/>
  </w:num>
  <w:num w:numId="8">
    <w:abstractNumId w:val="23"/>
  </w:num>
  <w:num w:numId="9">
    <w:abstractNumId w:val="32"/>
  </w:num>
  <w:num w:numId="10">
    <w:abstractNumId w:val="21"/>
  </w:num>
  <w:num w:numId="11">
    <w:abstractNumId w:val="26"/>
  </w:num>
  <w:num w:numId="12">
    <w:abstractNumId w:val="10"/>
  </w:num>
  <w:num w:numId="13">
    <w:abstractNumId w:val="38"/>
  </w:num>
  <w:num w:numId="14">
    <w:abstractNumId w:val="37"/>
  </w:num>
  <w:num w:numId="15">
    <w:abstractNumId w:val="4"/>
  </w:num>
  <w:num w:numId="16">
    <w:abstractNumId w:val="17"/>
  </w:num>
  <w:num w:numId="17">
    <w:abstractNumId w:val="9"/>
  </w:num>
  <w:num w:numId="18">
    <w:abstractNumId w:val="13"/>
  </w:num>
  <w:num w:numId="19">
    <w:abstractNumId w:val="25"/>
  </w:num>
  <w:num w:numId="20">
    <w:abstractNumId w:val="8"/>
  </w:num>
  <w:num w:numId="21">
    <w:abstractNumId w:val="16"/>
  </w:num>
  <w:num w:numId="22">
    <w:abstractNumId w:val="34"/>
  </w:num>
  <w:num w:numId="23">
    <w:abstractNumId w:val="24"/>
  </w:num>
  <w:num w:numId="24">
    <w:abstractNumId w:val="6"/>
  </w:num>
  <w:num w:numId="25">
    <w:abstractNumId w:val="35"/>
  </w:num>
  <w:num w:numId="26">
    <w:abstractNumId w:val="27"/>
  </w:num>
  <w:num w:numId="27">
    <w:abstractNumId w:val="31"/>
  </w:num>
  <w:num w:numId="28">
    <w:abstractNumId w:val="22"/>
  </w:num>
  <w:num w:numId="29">
    <w:abstractNumId w:val="33"/>
  </w:num>
  <w:num w:numId="30">
    <w:abstractNumId w:val="39"/>
  </w:num>
  <w:num w:numId="31">
    <w:abstractNumId w:val="14"/>
  </w:num>
  <w:num w:numId="32">
    <w:abstractNumId w:val="0"/>
  </w:num>
  <w:num w:numId="33">
    <w:abstractNumId w:val="7"/>
  </w:num>
  <w:num w:numId="34">
    <w:abstractNumId w:val="15"/>
  </w:num>
  <w:num w:numId="35">
    <w:abstractNumId w:val="20"/>
  </w:num>
  <w:num w:numId="36">
    <w:abstractNumId w:val="19"/>
  </w:num>
  <w:num w:numId="37">
    <w:abstractNumId w:val="12"/>
  </w:num>
  <w:num w:numId="38">
    <w:abstractNumId w:val="30"/>
  </w:num>
  <w:num w:numId="39">
    <w:abstractNumId w:val="11"/>
  </w:num>
  <w:num w:numId="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16C6"/>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286E"/>
    <w:rsid w:val="00113C80"/>
    <w:rsid w:val="00113E8A"/>
    <w:rsid w:val="001240A5"/>
    <w:rsid w:val="00131C89"/>
    <w:rsid w:val="00132BDB"/>
    <w:rsid w:val="00147D04"/>
    <w:rsid w:val="0016014E"/>
    <w:rsid w:val="001604B4"/>
    <w:rsid w:val="0016599D"/>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C5E6A"/>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6F2672"/>
    <w:rsid w:val="007015AB"/>
    <w:rsid w:val="00703971"/>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19DE"/>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1AC0"/>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565E0"/>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1158"/>
    <w:rsid w:val="00B07ADB"/>
    <w:rsid w:val="00B16CE1"/>
    <w:rsid w:val="00B2190C"/>
    <w:rsid w:val="00B21F85"/>
    <w:rsid w:val="00B224AB"/>
    <w:rsid w:val="00B259AE"/>
    <w:rsid w:val="00B2759C"/>
    <w:rsid w:val="00B32C98"/>
    <w:rsid w:val="00B3675E"/>
    <w:rsid w:val="00B36A8B"/>
    <w:rsid w:val="00B41044"/>
    <w:rsid w:val="00B45B03"/>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625B"/>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153F"/>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77C1F"/>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54A92"/>
    <w:rsid w:val="00E61519"/>
    <w:rsid w:val="00E6179D"/>
    <w:rsid w:val="00E676E0"/>
    <w:rsid w:val="00E82D3D"/>
    <w:rsid w:val="00E86F52"/>
    <w:rsid w:val="00E90F45"/>
    <w:rsid w:val="00E93266"/>
    <w:rsid w:val="00E965B4"/>
    <w:rsid w:val="00EA110C"/>
    <w:rsid w:val="00EA33CD"/>
    <w:rsid w:val="00EA7D41"/>
    <w:rsid w:val="00EA7FDF"/>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947C-9AA5-4189-9C04-0BB9CCB3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6487</Words>
  <Characters>35679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2019-03-05T18:24:00Z</cp:lastPrinted>
  <dcterms:created xsi:type="dcterms:W3CDTF">2019-03-13T23:30:00Z</dcterms:created>
  <dcterms:modified xsi:type="dcterms:W3CDTF">2019-03-13T23:30:00Z</dcterms:modified>
</cp:coreProperties>
</file>